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363" w:rsidRPr="00523290" w:rsidRDefault="00646363">
      <w:pPr>
        <w:widowControl/>
        <w:tabs>
          <w:tab w:val="clear" w:pos="1418"/>
          <w:tab w:val="clear" w:pos="4678"/>
          <w:tab w:val="left" w:pos="1701"/>
          <w:tab w:val="left" w:pos="5103"/>
        </w:tabs>
        <w:jc w:val="left"/>
        <w:rPr>
          <w:b/>
          <w:sz w:val="24"/>
        </w:rPr>
      </w:pPr>
      <w:r w:rsidRPr="00523290">
        <w:rPr>
          <w:b/>
          <w:sz w:val="24"/>
        </w:rPr>
        <w:t>Source:</w:t>
      </w:r>
      <w:r w:rsidRPr="00523290">
        <w:rPr>
          <w:b/>
          <w:sz w:val="24"/>
        </w:rPr>
        <w:tab/>
      </w:r>
      <w:r w:rsidR="004B4A51">
        <w:rPr>
          <w:b/>
          <w:sz w:val="24"/>
        </w:rPr>
        <w:t>CCSA</w:t>
      </w:r>
    </w:p>
    <w:p w:rsidR="00646363" w:rsidRPr="00523290" w:rsidRDefault="00646363">
      <w:pPr>
        <w:widowControl/>
        <w:tabs>
          <w:tab w:val="clear" w:pos="1418"/>
          <w:tab w:val="clear" w:pos="4678"/>
          <w:tab w:val="left" w:pos="1701"/>
          <w:tab w:val="left" w:pos="5103"/>
        </w:tabs>
        <w:jc w:val="left"/>
        <w:rPr>
          <w:b/>
          <w:sz w:val="24"/>
        </w:rPr>
      </w:pPr>
      <w:r w:rsidRPr="00523290">
        <w:rPr>
          <w:b/>
          <w:sz w:val="24"/>
        </w:rPr>
        <w:t>Title:</w:t>
      </w:r>
      <w:r w:rsidRPr="00523290">
        <w:rPr>
          <w:b/>
          <w:sz w:val="24"/>
        </w:rPr>
        <w:tab/>
      </w:r>
      <w:r w:rsidR="003C6217">
        <w:rPr>
          <w:b/>
          <w:sz w:val="24"/>
          <w:lang w:eastAsia="zh-CN"/>
        </w:rPr>
        <w:t>Stability of Rel-15 NR technical specifications</w:t>
      </w:r>
    </w:p>
    <w:p w:rsidR="00646363" w:rsidRPr="00523290" w:rsidRDefault="00646363">
      <w:pPr>
        <w:widowControl/>
        <w:tabs>
          <w:tab w:val="clear" w:pos="1418"/>
          <w:tab w:val="clear" w:pos="4678"/>
          <w:tab w:val="left" w:pos="1701"/>
        </w:tabs>
        <w:spacing w:after="0"/>
        <w:jc w:val="left"/>
        <w:rPr>
          <w:b/>
          <w:sz w:val="24"/>
        </w:rPr>
      </w:pPr>
      <w:r w:rsidRPr="00523290">
        <w:rPr>
          <w:b/>
          <w:sz w:val="24"/>
        </w:rPr>
        <w:t>Agenda item:</w:t>
      </w:r>
      <w:r w:rsidRPr="00523290">
        <w:rPr>
          <w:b/>
          <w:sz w:val="24"/>
        </w:rPr>
        <w:tab/>
      </w:r>
      <w:r w:rsidR="00702CDA">
        <w:rPr>
          <w:b/>
          <w:sz w:val="24"/>
        </w:rPr>
        <w:t>4</w:t>
      </w:r>
      <w:bookmarkStart w:id="0" w:name="_GoBack"/>
      <w:bookmarkEnd w:id="0"/>
    </w:p>
    <w:p w:rsidR="00646363" w:rsidRPr="00523290"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rsidRPr="00523290">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Pr="00523290" w:rsidRDefault="00646363">
            <w:pPr>
              <w:framePr w:hSpace="141" w:wrap="auto" w:vAnchor="text" w:hAnchor="page" w:x="3530" w:y="37"/>
              <w:widowControl/>
              <w:tabs>
                <w:tab w:val="clear" w:pos="1418"/>
                <w:tab w:val="clear" w:pos="4678"/>
              </w:tabs>
              <w:spacing w:after="0"/>
              <w:jc w:val="left"/>
              <w:rPr>
                <w:sz w:val="24"/>
              </w:rPr>
            </w:pPr>
            <w:r w:rsidRPr="00523290">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646363" w:rsidRPr="00523290" w:rsidRDefault="00646363">
            <w:pPr>
              <w:framePr w:hSpace="141" w:wrap="auto" w:vAnchor="text" w:hAnchor="page" w:x="3530" w:y="37"/>
              <w:widowControl/>
              <w:tabs>
                <w:tab w:val="clear" w:pos="1418"/>
                <w:tab w:val="clear" w:pos="4678"/>
                <w:tab w:val="left" w:pos="1701"/>
              </w:tabs>
              <w:spacing w:after="0"/>
              <w:jc w:val="center"/>
              <w:rPr>
                <w:b/>
                <w:sz w:val="24"/>
              </w:rPr>
            </w:pPr>
          </w:p>
        </w:tc>
      </w:tr>
      <w:tr w:rsidR="00646363" w:rsidRPr="00523290">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Pr="00523290" w:rsidRDefault="00646363">
            <w:pPr>
              <w:framePr w:hSpace="141" w:wrap="auto" w:vAnchor="text" w:hAnchor="page" w:x="3530" w:y="37"/>
              <w:widowControl/>
              <w:tabs>
                <w:tab w:val="clear" w:pos="1418"/>
                <w:tab w:val="clear" w:pos="4678"/>
                <w:tab w:val="left" w:pos="1701"/>
              </w:tabs>
              <w:spacing w:after="0"/>
              <w:jc w:val="left"/>
              <w:rPr>
                <w:sz w:val="24"/>
              </w:rPr>
            </w:pPr>
            <w:r w:rsidRPr="00523290">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646363" w:rsidRPr="00523290" w:rsidRDefault="00523290">
            <w:pPr>
              <w:framePr w:hSpace="141" w:wrap="auto" w:vAnchor="text" w:hAnchor="page" w:x="3530" w:y="37"/>
              <w:widowControl/>
              <w:tabs>
                <w:tab w:val="clear" w:pos="1418"/>
                <w:tab w:val="clear" w:pos="4678"/>
                <w:tab w:val="left" w:pos="1701"/>
              </w:tabs>
              <w:spacing w:after="0"/>
              <w:jc w:val="center"/>
              <w:rPr>
                <w:b/>
                <w:sz w:val="24"/>
              </w:rPr>
            </w:pPr>
            <w:r>
              <w:rPr>
                <w:b/>
                <w:sz w:val="24"/>
              </w:rPr>
              <w:t>X</w:t>
            </w:r>
          </w:p>
        </w:tc>
      </w:tr>
      <w:tr w:rsidR="00646363" w:rsidRPr="00523290">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Pr="00523290" w:rsidRDefault="00646363">
            <w:pPr>
              <w:framePr w:hSpace="141" w:wrap="auto" w:vAnchor="text" w:hAnchor="page" w:x="3530" w:y="37"/>
              <w:widowControl/>
              <w:tabs>
                <w:tab w:val="clear" w:pos="1418"/>
                <w:tab w:val="clear" w:pos="4678"/>
                <w:tab w:val="left" w:pos="1701"/>
              </w:tabs>
              <w:spacing w:after="0"/>
              <w:jc w:val="left"/>
              <w:rPr>
                <w:sz w:val="24"/>
              </w:rPr>
            </w:pPr>
            <w:r w:rsidRPr="00523290">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646363" w:rsidRPr="00523290" w:rsidRDefault="00646363">
            <w:pPr>
              <w:framePr w:hSpace="141" w:wrap="auto" w:vAnchor="text" w:hAnchor="page" w:x="3530" w:y="37"/>
              <w:widowControl/>
              <w:tabs>
                <w:tab w:val="clear" w:pos="1418"/>
                <w:tab w:val="clear" w:pos="4678"/>
                <w:tab w:val="left" w:pos="1701"/>
              </w:tabs>
              <w:spacing w:after="0"/>
              <w:jc w:val="center"/>
              <w:rPr>
                <w:b/>
                <w:sz w:val="24"/>
              </w:rPr>
            </w:pPr>
          </w:p>
        </w:tc>
      </w:tr>
    </w:tbl>
    <w:p w:rsidR="00646363" w:rsidRPr="00523290" w:rsidRDefault="00646363">
      <w:pPr>
        <w:widowControl/>
        <w:tabs>
          <w:tab w:val="clear" w:pos="1418"/>
          <w:tab w:val="clear" w:pos="4678"/>
          <w:tab w:val="left" w:pos="1701"/>
        </w:tabs>
        <w:jc w:val="left"/>
        <w:rPr>
          <w:b/>
          <w:sz w:val="24"/>
        </w:rPr>
      </w:pPr>
      <w:r w:rsidRPr="00523290">
        <w:rPr>
          <w:b/>
          <w:sz w:val="24"/>
        </w:rPr>
        <w:t>Document for:</w:t>
      </w:r>
    </w:p>
    <w:p w:rsidR="00646363" w:rsidRPr="00523290" w:rsidRDefault="00646363">
      <w:pPr>
        <w:pStyle w:val="Heading1"/>
        <w:widowControl/>
        <w:rPr>
          <w:b w:val="0"/>
        </w:rPr>
      </w:pPr>
    </w:p>
    <w:p w:rsidR="00523290" w:rsidRPr="00523290" w:rsidRDefault="00523290" w:rsidP="00523290"/>
    <w:p w:rsidR="00523290" w:rsidRPr="00523290" w:rsidRDefault="00523290" w:rsidP="00523290"/>
    <w:p w:rsidR="00523290" w:rsidRPr="00523290" w:rsidRDefault="00523290" w:rsidP="00523290">
      <w:pPr>
        <w:pStyle w:val="Heading1"/>
      </w:pPr>
      <w:r w:rsidRPr="00523290">
        <w:t>1</w:t>
      </w:r>
      <w:r w:rsidRPr="00523290">
        <w:tab/>
        <w:t>Introduction</w:t>
      </w:r>
    </w:p>
    <w:p w:rsidR="00523290" w:rsidRDefault="004C480B" w:rsidP="00523290">
      <w:r>
        <w:t>When technical specifications are sufficiently stable</w:t>
      </w:r>
      <w:r w:rsidR="008979CF">
        <w:t xml:space="preserve"> and approved by relevant TSG</w:t>
      </w:r>
      <w:r>
        <w:t>, they are put under change control. Further elaboration</w:t>
      </w:r>
      <w:r w:rsidR="008979CF">
        <w:t xml:space="preserve"> and update</w:t>
      </w:r>
      <w:r>
        <w:t xml:space="preserve"> of the technical specifications are achieved by means of change requests (CRs) to be approved by </w:t>
      </w:r>
      <w:r w:rsidR="008979CF">
        <w:t xml:space="preserve">relevant </w:t>
      </w:r>
      <w:r>
        <w:t>TSG.</w:t>
      </w:r>
    </w:p>
    <w:p w:rsidR="001C4DCB" w:rsidRDefault="004C480B" w:rsidP="00523290">
      <w:r>
        <w:t xml:space="preserve">Different categories of </w:t>
      </w:r>
      <w:r w:rsidR="001C4DCB">
        <w:t>CRs</w:t>
      </w:r>
      <w:r>
        <w:t xml:space="preserve"> are available, </w:t>
      </w:r>
      <w:r w:rsidR="008979CF">
        <w:t xml:space="preserve">as stated in TR21.900 </w:t>
      </w:r>
      <w:r w:rsidR="001C4DCB">
        <w:t>“</w:t>
      </w:r>
      <w:r w:rsidR="001C4DCB" w:rsidRPr="001C4DCB">
        <w:t>Technical Specification Group working methods</w:t>
      </w:r>
      <w:r w:rsidR="001C4DCB">
        <w:t>”, Table 4A (copied below). According to TR21.900, a</w:t>
      </w:r>
      <w:r w:rsidR="001C4DCB" w:rsidRPr="001C4DCB">
        <w:t xml:space="preserve"> TSG may decide that a specification is considered "frozen". </w:t>
      </w:r>
      <w:r w:rsidR="001C4DCB">
        <w:t>After that,</w:t>
      </w:r>
      <w:r w:rsidR="001C4DCB" w:rsidRPr="001C4DCB">
        <w:t xml:space="preserve"> only CRs for </w:t>
      </w:r>
      <w:r w:rsidR="001C4DCB">
        <w:t>essential corrections of errors</w:t>
      </w:r>
      <w:r w:rsidR="001C4DCB" w:rsidRPr="001C4DCB">
        <w:rPr>
          <w:rFonts w:hint="eastAsia"/>
        </w:rPr>
        <w:t xml:space="preserve"> </w:t>
      </w:r>
      <w:r w:rsidR="001C4DCB" w:rsidRPr="001C4DCB">
        <w:t>(</w:t>
      </w:r>
      <w:r w:rsidR="001C4DCB">
        <w:t xml:space="preserve">CR categories A or F) </w:t>
      </w:r>
      <w:r w:rsidR="001C4DCB" w:rsidRPr="001C4DCB">
        <w:t>shall be considered.</w:t>
      </w:r>
    </w:p>
    <w:p w:rsidR="00770A32" w:rsidRDefault="00770A32" w:rsidP="001C4DCB">
      <w:r>
        <w:t>Category F CR is the most commonly used CR category in practice, to correct errors in the technical specification. The following “sub-categories” of category F CR are stated in T</w:t>
      </w:r>
      <w:r>
        <w:rPr>
          <w:rFonts w:hint="eastAsia"/>
          <w:lang w:eastAsia="zh-CN"/>
        </w:rPr>
        <w:t>R</w:t>
      </w:r>
      <w:r>
        <w:rPr>
          <w:lang w:eastAsia="zh-CN"/>
        </w:rPr>
        <w:t>21.900:</w:t>
      </w:r>
    </w:p>
    <w:p w:rsidR="00C420BE" w:rsidRPr="00770A32" w:rsidRDefault="00817A80" w:rsidP="003C1E13">
      <w:pPr>
        <w:pStyle w:val="ListParagraph"/>
        <w:numPr>
          <w:ilvl w:val="0"/>
          <w:numId w:val="11"/>
        </w:numPr>
        <w:rPr>
          <w:i/>
        </w:rPr>
      </w:pPr>
      <w:r>
        <w:rPr>
          <w:u w:val="single"/>
        </w:rPr>
        <w:t>S</w:t>
      </w:r>
      <w:r w:rsidRPr="00817A80">
        <w:rPr>
          <w:u w:val="single"/>
        </w:rPr>
        <w:t>ub-category 1:</w:t>
      </w:r>
      <w:r w:rsidRPr="00770A32">
        <w:rPr>
          <w:i/>
        </w:rPr>
        <w:t xml:space="preserve"> </w:t>
      </w:r>
      <w:r w:rsidR="00770A32" w:rsidRPr="00770A32">
        <w:rPr>
          <w:i/>
        </w:rPr>
        <w:t>to correct an error in the specification (i.e. a clear instruction in the specification which leads to inco</w:t>
      </w:r>
      <w:r w:rsidR="00C420BE">
        <w:rPr>
          <w:i/>
        </w:rPr>
        <w:t>rrect operation of the system);</w:t>
      </w:r>
      <w:r w:rsidR="003C1E13" w:rsidRPr="00770A32">
        <w:rPr>
          <w:i/>
        </w:rPr>
        <w:t xml:space="preserve"> </w:t>
      </w:r>
    </w:p>
    <w:p w:rsidR="00770A32" w:rsidRPr="00770A32" w:rsidRDefault="00817A80" w:rsidP="00770A32">
      <w:pPr>
        <w:pStyle w:val="ListParagraph"/>
        <w:numPr>
          <w:ilvl w:val="0"/>
          <w:numId w:val="11"/>
        </w:numPr>
        <w:rPr>
          <w:i/>
        </w:rPr>
      </w:pPr>
      <w:r>
        <w:rPr>
          <w:u w:val="single"/>
        </w:rPr>
        <w:t>S</w:t>
      </w:r>
      <w:r w:rsidRPr="00817A80">
        <w:rPr>
          <w:u w:val="single"/>
        </w:rPr>
        <w:t xml:space="preserve">ub-category </w:t>
      </w:r>
      <w:r>
        <w:rPr>
          <w:u w:val="single"/>
        </w:rPr>
        <w:t>2</w:t>
      </w:r>
      <w:r w:rsidRPr="00817A80">
        <w:rPr>
          <w:u w:val="single"/>
        </w:rPr>
        <w:t>:</w:t>
      </w:r>
      <w:r w:rsidRPr="00817A80">
        <w:t xml:space="preserve"> </w:t>
      </w:r>
      <w:r w:rsidR="00770A32" w:rsidRPr="00770A32">
        <w:rPr>
          <w:i/>
        </w:rPr>
        <w:t>to correct an ambiguity in the specification which could lead to different implementati</w:t>
      </w:r>
      <w:r w:rsidR="00C420BE">
        <w:rPr>
          <w:i/>
        </w:rPr>
        <w:t>ons which cannot inter-operate;</w:t>
      </w:r>
    </w:p>
    <w:p w:rsidR="00770A32" w:rsidRPr="00770A32" w:rsidRDefault="00817A80" w:rsidP="00770A32">
      <w:pPr>
        <w:pStyle w:val="ListParagraph"/>
        <w:numPr>
          <w:ilvl w:val="0"/>
          <w:numId w:val="11"/>
        </w:numPr>
        <w:rPr>
          <w:i/>
        </w:rPr>
      </w:pPr>
      <w:r>
        <w:rPr>
          <w:u w:val="single"/>
        </w:rPr>
        <w:t>S</w:t>
      </w:r>
      <w:r w:rsidRPr="00817A80">
        <w:rPr>
          <w:u w:val="single"/>
        </w:rPr>
        <w:t xml:space="preserve">ub-category </w:t>
      </w:r>
      <w:r>
        <w:rPr>
          <w:u w:val="single"/>
        </w:rPr>
        <w:t>3</w:t>
      </w:r>
      <w:r w:rsidRPr="00817A80">
        <w:rPr>
          <w:u w:val="single"/>
        </w:rPr>
        <w:t>:</w:t>
      </w:r>
      <w:r w:rsidRPr="00817A80">
        <w:t xml:space="preserve"> </w:t>
      </w:r>
      <w:r w:rsidR="00770A32" w:rsidRPr="00770A32">
        <w:rPr>
          <w:i/>
        </w:rPr>
        <w:t>to remedy the incorrect implementation</w:t>
      </w:r>
      <w:r w:rsidR="00C420BE">
        <w:rPr>
          <w:i/>
        </w:rPr>
        <w:t xml:space="preserve"> of a previously approved CR;</w:t>
      </w:r>
    </w:p>
    <w:p w:rsidR="00770A32" w:rsidRPr="00770A32" w:rsidRDefault="00817A80" w:rsidP="00770A32">
      <w:pPr>
        <w:pStyle w:val="ListParagraph"/>
        <w:numPr>
          <w:ilvl w:val="0"/>
          <w:numId w:val="11"/>
        </w:numPr>
        <w:rPr>
          <w:i/>
        </w:rPr>
      </w:pPr>
      <w:r w:rsidRPr="00817A80">
        <w:rPr>
          <w:u w:val="single"/>
        </w:rPr>
        <w:t xml:space="preserve">Sub-category </w:t>
      </w:r>
      <w:r>
        <w:rPr>
          <w:u w:val="single"/>
        </w:rPr>
        <w:t>4</w:t>
      </w:r>
      <w:r w:rsidRPr="00817A80">
        <w:rPr>
          <w:u w:val="single"/>
        </w:rPr>
        <w:t>:</w:t>
      </w:r>
      <w:r w:rsidRPr="00817A80">
        <w:t xml:space="preserve"> </w:t>
      </w:r>
      <w:r w:rsidR="00770A32" w:rsidRPr="00770A32">
        <w:rPr>
          <w:i/>
        </w:rPr>
        <w:t>to correct a misalignment between the specifications (stage 1, stage 2 &amp; stage 3) for a feature or service when not introducing a new function or functional change.</w:t>
      </w:r>
    </w:p>
    <w:p w:rsidR="003C1E13" w:rsidRDefault="003033AE" w:rsidP="003C1E13">
      <w:pPr>
        <w:rPr>
          <w:lang w:eastAsia="zh-CN"/>
        </w:rPr>
      </w:pPr>
      <w:r>
        <w:t>Non-standalone and standalone NR technical specifications were declared frozen in December 2017 and June 2018, respectively. Recently, s</w:t>
      </w:r>
      <w:r w:rsidR="003C1E13">
        <w:t xml:space="preserve">tability of Rel-15 NR specifications draws significant attention of stakeholders. With 5G commercial deployments coming to reality, it is of utter most importance to ensure the stability of NR technical specifications such that deployment timelines are not jeopardized. </w:t>
      </w:r>
      <w:r w:rsidR="003C1E13">
        <w:rPr>
          <w:lang w:eastAsia="zh-CN"/>
        </w:rPr>
        <w:t>I</w:t>
      </w:r>
      <w:r w:rsidR="003C1E13">
        <w:rPr>
          <w:rFonts w:hint="eastAsia"/>
          <w:lang w:eastAsia="zh-CN"/>
        </w:rPr>
        <w:t>n</w:t>
      </w:r>
      <w:r w:rsidR="003C1E13">
        <w:rPr>
          <w:lang w:eastAsia="zh-CN"/>
        </w:rPr>
        <w:t xml:space="preserve"> </w:t>
      </w:r>
      <w:r w:rsidR="003C1E13">
        <w:rPr>
          <w:rFonts w:hint="eastAsia"/>
          <w:lang w:eastAsia="zh-CN"/>
        </w:rPr>
        <w:t>relation</w:t>
      </w:r>
      <w:r w:rsidR="003C1E13">
        <w:rPr>
          <w:lang w:eastAsia="zh-CN"/>
        </w:rPr>
        <w:t xml:space="preserve"> to this, stakeholders </w:t>
      </w:r>
      <w:r>
        <w:rPr>
          <w:lang w:eastAsia="zh-CN"/>
        </w:rPr>
        <w:t>expressed</w:t>
      </w:r>
      <w:r w:rsidR="003C1E13">
        <w:rPr>
          <w:lang w:eastAsia="zh-CN"/>
        </w:rPr>
        <w:t xml:space="preserve"> concerns over Rel-15 non-backward compatible</w:t>
      </w:r>
      <w:r>
        <w:rPr>
          <w:lang w:eastAsia="zh-CN"/>
        </w:rPr>
        <w:t xml:space="preserve"> NR</w:t>
      </w:r>
      <w:r w:rsidR="003C1E13">
        <w:rPr>
          <w:lang w:eastAsia="zh-CN"/>
        </w:rPr>
        <w:t xml:space="preserve"> </w:t>
      </w:r>
      <w:r>
        <w:rPr>
          <w:lang w:eastAsia="zh-CN"/>
        </w:rPr>
        <w:t>CRs</w:t>
      </w:r>
      <w:r w:rsidR="003C1E13">
        <w:rPr>
          <w:lang w:eastAsia="zh-CN"/>
        </w:rPr>
        <w:t xml:space="preserve">. </w:t>
      </w:r>
    </w:p>
    <w:p w:rsidR="003033AE" w:rsidRDefault="003033AE" w:rsidP="001C4DCB">
      <w:pPr>
        <w:rPr>
          <w:lang w:eastAsia="zh-CN"/>
        </w:rPr>
      </w:pPr>
      <w:r>
        <w:rPr>
          <w:lang w:eastAsia="zh-CN"/>
        </w:rPr>
        <w:t>The recent TSG RAN WG meetings, it is observed that CR of following nature were submitted for Rel-15 NR technical specifications:</w:t>
      </w:r>
    </w:p>
    <w:p w:rsidR="003033AE" w:rsidRPr="003033AE" w:rsidRDefault="003033AE" w:rsidP="003033AE">
      <w:pPr>
        <w:pStyle w:val="ListParagraph"/>
        <w:numPr>
          <w:ilvl w:val="0"/>
          <w:numId w:val="11"/>
        </w:numPr>
        <w:rPr>
          <w:i/>
        </w:rPr>
      </w:pPr>
      <w:r>
        <w:t xml:space="preserve">to optimize the performance of a certain function, wherein the current technical specification </w:t>
      </w:r>
      <w:r>
        <w:rPr>
          <w:lang w:eastAsia="zh-CN"/>
        </w:rPr>
        <w:t>unambiguously defines the behaviour and system operates correctly</w:t>
      </w:r>
      <w:r>
        <w:t>;</w:t>
      </w:r>
    </w:p>
    <w:p w:rsidR="003033AE" w:rsidRPr="003033AE" w:rsidRDefault="003033AE" w:rsidP="003033AE">
      <w:pPr>
        <w:pStyle w:val="ListParagraph"/>
        <w:numPr>
          <w:ilvl w:val="0"/>
          <w:numId w:val="11"/>
        </w:numPr>
        <w:rPr>
          <w:i/>
        </w:rPr>
      </w:pPr>
      <w:r>
        <w:t>to introduce additional functionality</w:t>
      </w:r>
    </w:p>
    <w:p w:rsidR="003033AE" w:rsidRDefault="003033AE" w:rsidP="001C4DCB">
      <w:pPr>
        <w:rPr>
          <w:lang w:eastAsia="zh-CN"/>
        </w:rPr>
      </w:pPr>
      <w:r>
        <w:t>Such CRs are not essential CRs for a frozen specification, thus should not be approved.</w:t>
      </w:r>
    </w:p>
    <w:p w:rsidR="00BD73E5" w:rsidRPr="00523290" w:rsidRDefault="00BD73E5" w:rsidP="00BD73E5">
      <w:pPr>
        <w:pStyle w:val="Heading1"/>
      </w:pPr>
      <w:r>
        <w:lastRenderedPageBreak/>
        <w:t>2</w:t>
      </w:r>
      <w:r>
        <w:tab/>
        <w:t>P</w:t>
      </w:r>
      <w:r w:rsidR="00B3608F">
        <w:t>roposal</w:t>
      </w:r>
    </w:p>
    <w:p w:rsidR="004C480B" w:rsidRDefault="00BD73E5" w:rsidP="00523290">
      <w:r>
        <w:t xml:space="preserve">It is proposed that PCG reminds TSG and WGs that only Cat F CRs </w:t>
      </w:r>
      <w:r w:rsidR="00B3608F">
        <w:t>according to</w:t>
      </w:r>
      <w:r>
        <w:t xml:space="preserve"> the descriptions in TR21.900 Table 4A can be approved for Rel-15 NR technical specifications.</w:t>
      </w:r>
    </w:p>
    <w:p w:rsidR="00B3608F" w:rsidRDefault="00B3608F" w:rsidP="00523290"/>
    <w:p w:rsidR="008979CF" w:rsidRDefault="008979CF" w:rsidP="008979CF">
      <w:pPr>
        <w:pStyle w:val="TH"/>
      </w:pPr>
      <w:r>
        <w:lastRenderedPageBreak/>
        <w:t>Table 4A: Categories of Change Requests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2665"/>
        <w:gridCol w:w="5919"/>
      </w:tblGrid>
      <w:tr w:rsidR="008979CF" w:rsidTr="008979CF">
        <w:trPr>
          <w:cantSplit/>
          <w:tblHeader/>
        </w:trPr>
        <w:tc>
          <w:tcPr>
            <w:tcW w:w="1271" w:type="dxa"/>
          </w:tcPr>
          <w:p w:rsidR="008979CF" w:rsidRDefault="008979CF" w:rsidP="001C6A65">
            <w:pPr>
              <w:pStyle w:val="TAH"/>
              <w:jc w:val="left"/>
            </w:pPr>
            <w:r>
              <w:t>Category</w:t>
            </w:r>
          </w:p>
        </w:tc>
        <w:tc>
          <w:tcPr>
            <w:tcW w:w="2665" w:type="dxa"/>
          </w:tcPr>
          <w:p w:rsidR="008979CF" w:rsidRDefault="008979CF" w:rsidP="001C6A65">
            <w:pPr>
              <w:pStyle w:val="TAH"/>
              <w:jc w:val="left"/>
            </w:pPr>
            <w:r>
              <w:t>Meaning</w:t>
            </w:r>
          </w:p>
        </w:tc>
        <w:tc>
          <w:tcPr>
            <w:tcW w:w="5919" w:type="dxa"/>
          </w:tcPr>
          <w:p w:rsidR="008979CF" w:rsidRDefault="008979CF" w:rsidP="001C6A65">
            <w:pPr>
              <w:pStyle w:val="TAH"/>
              <w:jc w:val="left"/>
            </w:pPr>
            <w:r>
              <w:t>Remarks</w:t>
            </w:r>
          </w:p>
        </w:tc>
      </w:tr>
      <w:tr w:rsidR="008979CF" w:rsidTr="008979CF">
        <w:trPr>
          <w:cantSplit/>
        </w:trPr>
        <w:tc>
          <w:tcPr>
            <w:tcW w:w="1271" w:type="dxa"/>
          </w:tcPr>
          <w:p w:rsidR="008979CF" w:rsidRDefault="008979CF" w:rsidP="001C6A65">
            <w:pPr>
              <w:pStyle w:val="TAL"/>
            </w:pPr>
            <w:r>
              <w:t>A</w:t>
            </w:r>
          </w:p>
        </w:tc>
        <w:tc>
          <w:tcPr>
            <w:tcW w:w="2665" w:type="dxa"/>
          </w:tcPr>
          <w:p w:rsidR="008979CF" w:rsidRDefault="008979CF" w:rsidP="001C6A65">
            <w:pPr>
              <w:pStyle w:val="TAL"/>
            </w:pPr>
            <w:r>
              <w:t>Corresponds to a change to an earlier Release</w:t>
            </w:r>
          </w:p>
        </w:tc>
        <w:tc>
          <w:tcPr>
            <w:tcW w:w="5919" w:type="dxa"/>
          </w:tcPr>
          <w:p w:rsidR="008979CF" w:rsidRDefault="008979CF" w:rsidP="001C6A65">
            <w:pPr>
              <w:pStyle w:val="TAL"/>
            </w:pPr>
            <w:r>
              <w:t>Used to reflect functionally equivalent changes made to an earlier Release of the same Specification.</w:t>
            </w:r>
            <w:r>
              <w:br/>
            </w:r>
          </w:p>
          <w:p w:rsidR="008979CF" w:rsidRDefault="008979CF" w:rsidP="001C6A65">
            <w:pPr>
              <w:pStyle w:val="TAN"/>
            </w:pPr>
            <w:r>
              <w:t>Note:</w:t>
            </w:r>
            <w:r>
              <w:tab/>
              <w:t>The proposed change to the later Release of the Specification need not be absolutely identical to the proposed change to the earlier Release, since it is possible that, due to earlier change requests, the affected text is not identical in each Release.  Category A should be used when the functional objective of the proposed changes is equivalent in the earlier and later Releases.</w:t>
            </w:r>
          </w:p>
        </w:tc>
      </w:tr>
      <w:tr w:rsidR="008979CF" w:rsidTr="008979CF">
        <w:trPr>
          <w:cantSplit/>
        </w:trPr>
        <w:tc>
          <w:tcPr>
            <w:tcW w:w="1271" w:type="dxa"/>
          </w:tcPr>
          <w:p w:rsidR="008979CF" w:rsidRDefault="008979CF" w:rsidP="001C6A65">
            <w:pPr>
              <w:pStyle w:val="TAL"/>
            </w:pPr>
            <w:r>
              <w:t>B</w:t>
            </w:r>
          </w:p>
        </w:tc>
        <w:tc>
          <w:tcPr>
            <w:tcW w:w="2665" w:type="dxa"/>
          </w:tcPr>
          <w:p w:rsidR="008979CF" w:rsidRDefault="008979CF" w:rsidP="001C6A65">
            <w:pPr>
              <w:pStyle w:val="TAL"/>
            </w:pPr>
            <w:r>
              <w:t>Addition or deletion of feature</w:t>
            </w:r>
          </w:p>
        </w:tc>
        <w:tc>
          <w:tcPr>
            <w:tcW w:w="5919" w:type="dxa"/>
          </w:tcPr>
          <w:p w:rsidR="008979CF" w:rsidRDefault="008979CF" w:rsidP="001C6A65">
            <w:pPr>
              <w:pStyle w:val="TAL"/>
            </w:pPr>
            <w:r>
              <w:t xml:space="preserve">The new feature is to be added to the Release; the reference is </w:t>
            </w:r>
            <w:r>
              <w:rPr>
                <w:i/>
              </w:rPr>
              <w:t>not</w:t>
            </w:r>
            <w:r>
              <w:t xml:space="preserve"> to the Specification itself. This will normally correspond to an identified Work Item. This category shall not be used for a frozen Release, except for alignment CRs as described below.</w:t>
            </w:r>
          </w:p>
        </w:tc>
      </w:tr>
      <w:tr w:rsidR="008979CF" w:rsidTr="008979CF">
        <w:trPr>
          <w:cantSplit/>
        </w:trPr>
        <w:tc>
          <w:tcPr>
            <w:tcW w:w="1271" w:type="dxa"/>
          </w:tcPr>
          <w:p w:rsidR="008979CF" w:rsidRDefault="008979CF" w:rsidP="001C6A65">
            <w:pPr>
              <w:pStyle w:val="TAL"/>
            </w:pPr>
            <w:r>
              <w:t>C</w:t>
            </w:r>
          </w:p>
        </w:tc>
        <w:tc>
          <w:tcPr>
            <w:tcW w:w="2665" w:type="dxa"/>
          </w:tcPr>
          <w:p w:rsidR="008979CF" w:rsidRDefault="008979CF" w:rsidP="001C6A65">
            <w:pPr>
              <w:pStyle w:val="TAL"/>
            </w:pPr>
            <w:r>
              <w:t>Functional modification of feature</w:t>
            </w:r>
          </w:p>
        </w:tc>
        <w:tc>
          <w:tcPr>
            <w:tcW w:w="5919" w:type="dxa"/>
          </w:tcPr>
          <w:p w:rsidR="008979CF" w:rsidRDefault="008979CF" w:rsidP="001C6A65">
            <w:pPr>
              <w:pStyle w:val="TAL"/>
            </w:pPr>
            <w:r>
              <w:t>Any functional modification shall correspond to an identified Work Item. However backward compatibility shall be ensured when the issue has an impact on the UE. This category shall not be used for a frozen Release, except for alignment CRs as described below.</w:t>
            </w:r>
          </w:p>
        </w:tc>
      </w:tr>
      <w:tr w:rsidR="008979CF" w:rsidTr="008979CF">
        <w:trPr>
          <w:cantSplit/>
        </w:trPr>
        <w:tc>
          <w:tcPr>
            <w:tcW w:w="1271" w:type="dxa"/>
          </w:tcPr>
          <w:p w:rsidR="008979CF" w:rsidRDefault="008979CF" w:rsidP="001C6A65">
            <w:pPr>
              <w:pStyle w:val="TAL"/>
            </w:pPr>
            <w:r>
              <w:t>D</w:t>
            </w:r>
          </w:p>
        </w:tc>
        <w:tc>
          <w:tcPr>
            <w:tcW w:w="2665" w:type="dxa"/>
          </w:tcPr>
          <w:p w:rsidR="008979CF" w:rsidRDefault="008979CF" w:rsidP="001C6A65">
            <w:pPr>
              <w:pStyle w:val="TAL"/>
            </w:pPr>
            <w:r>
              <w:t>Editorial modification</w:t>
            </w:r>
          </w:p>
        </w:tc>
        <w:tc>
          <w:tcPr>
            <w:tcW w:w="5919" w:type="dxa"/>
          </w:tcPr>
          <w:p w:rsidR="008979CF" w:rsidRDefault="008979CF" w:rsidP="001C6A65">
            <w:pPr>
              <w:pStyle w:val="TAL"/>
            </w:pPr>
            <w:r>
              <w:t>Editorial modifications shall have no impact on an implementation. An editorial modification CR to a frozen Release shall not be permitted.</w:t>
            </w:r>
          </w:p>
        </w:tc>
      </w:tr>
      <w:tr w:rsidR="008979CF" w:rsidTr="008979CF">
        <w:trPr>
          <w:cantSplit/>
        </w:trPr>
        <w:tc>
          <w:tcPr>
            <w:tcW w:w="1271" w:type="dxa"/>
          </w:tcPr>
          <w:p w:rsidR="008979CF" w:rsidRDefault="008979CF" w:rsidP="001C6A65">
            <w:pPr>
              <w:pStyle w:val="TAL"/>
            </w:pPr>
            <w:r>
              <w:t>E</w:t>
            </w:r>
          </w:p>
        </w:tc>
        <w:tc>
          <w:tcPr>
            <w:tcW w:w="2665" w:type="dxa"/>
          </w:tcPr>
          <w:p w:rsidR="008979CF" w:rsidRDefault="008979CF" w:rsidP="001C6A65">
            <w:pPr>
              <w:pStyle w:val="TAL"/>
            </w:pPr>
            <w:r>
              <w:t>(not used)</w:t>
            </w:r>
          </w:p>
        </w:tc>
        <w:tc>
          <w:tcPr>
            <w:tcW w:w="5919" w:type="dxa"/>
          </w:tcPr>
          <w:p w:rsidR="008979CF" w:rsidRDefault="008979CF" w:rsidP="001C6A65">
            <w:pPr>
              <w:pStyle w:val="TAL"/>
            </w:pPr>
          </w:p>
        </w:tc>
      </w:tr>
      <w:tr w:rsidR="008979CF" w:rsidTr="008979CF">
        <w:trPr>
          <w:cantSplit/>
        </w:trPr>
        <w:tc>
          <w:tcPr>
            <w:tcW w:w="1271" w:type="dxa"/>
          </w:tcPr>
          <w:p w:rsidR="008979CF" w:rsidRDefault="008979CF" w:rsidP="001C6A65">
            <w:pPr>
              <w:pStyle w:val="TAL"/>
            </w:pPr>
            <w:r>
              <w:t>F</w:t>
            </w:r>
          </w:p>
        </w:tc>
        <w:tc>
          <w:tcPr>
            <w:tcW w:w="2665" w:type="dxa"/>
          </w:tcPr>
          <w:p w:rsidR="008979CF" w:rsidRDefault="008979CF" w:rsidP="001C6A65">
            <w:pPr>
              <w:pStyle w:val="TAL"/>
            </w:pPr>
            <w:r>
              <w:t>Correction</w:t>
            </w:r>
          </w:p>
        </w:tc>
        <w:tc>
          <w:tcPr>
            <w:tcW w:w="5919" w:type="dxa"/>
          </w:tcPr>
          <w:p w:rsidR="008979CF" w:rsidRDefault="008979CF" w:rsidP="001C6A65">
            <w:pPr>
              <w:pStyle w:val="TAL"/>
            </w:pPr>
            <w:r>
              <w:t>Used:</w:t>
            </w:r>
          </w:p>
          <w:p w:rsidR="008979CF" w:rsidRDefault="008979CF" w:rsidP="001C6A65">
            <w:pPr>
              <w:pStyle w:val="TAN"/>
              <w:ind w:left="1135"/>
            </w:pPr>
            <w:r>
              <w:t>1</w:t>
            </w:r>
            <w:r>
              <w:tab/>
              <w:t xml:space="preserve">to correct an error in the specification (i.e. a clear instruction in the specification which leads to incorrect operation of the system); or </w:t>
            </w:r>
          </w:p>
          <w:p w:rsidR="008979CF" w:rsidRDefault="008979CF" w:rsidP="001C6A65">
            <w:pPr>
              <w:pStyle w:val="TAN"/>
              <w:ind w:left="1135"/>
            </w:pPr>
            <w:r>
              <w:t>2</w:t>
            </w:r>
            <w:r>
              <w:tab/>
              <w:t>to correct an ambiguity in the specification which could lead to different implementations which cannot inter-operate; or</w:t>
            </w:r>
          </w:p>
          <w:p w:rsidR="008979CF" w:rsidRDefault="008979CF" w:rsidP="001C6A65">
            <w:pPr>
              <w:pStyle w:val="TAN"/>
              <w:ind w:left="1135"/>
            </w:pPr>
            <w:r>
              <w:t>3</w:t>
            </w:r>
            <w:r>
              <w:tab/>
              <w:t>(void); or</w:t>
            </w:r>
          </w:p>
          <w:p w:rsidR="008979CF" w:rsidRDefault="008979CF" w:rsidP="001C6A65">
            <w:pPr>
              <w:pStyle w:val="TAN"/>
              <w:ind w:left="1135"/>
            </w:pPr>
            <w:r>
              <w:t>4</w:t>
            </w:r>
            <w:r>
              <w:tab/>
              <w:t>to remedy the incorrect implementation of a previously approved CR; or</w:t>
            </w:r>
          </w:p>
          <w:p w:rsidR="008979CF" w:rsidRDefault="008979CF" w:rsidP="001C6A65">
            <w:pPr>
              <w:pStyle w:val="TAN"/>
              <w:ind w:left="1135"/>
            </w:pPr>
            <w:r>
              <w:t>5</w:t>
            </w:r>
            <w:r>
              <w:tab/>
              <w:t>to correct a misalignment between the specifications (stage 1, stage 2 &amp; stage 3) for a feature or service when not introducing a new function or functional change.</w:t>
            </w:r>
          </w:p>
          <w:p w:rsidR="008979CF" w:rsidRDefault="008979CF" w:rsidP="001C6A65">
            <w:pPr>
              <w:pStyle w:val="TAL"/>
            </w:pPr>
          </w:p>
        </w:tc>
      </w:tr>
    </w:tbl>
    <w:p w:rsidR="008979CF" w:rsidRDefault="008979CF" w:rsidP="008979CF"/>
    <w:p w:rsidR="004C480B" w:rsidRDefault="004C480B" w:rsidP="00523290">
      <w:r>
        <w:t xml:space="preserve"> </w:t>
      </w:r>
    </w:p>
    <w:sectPr w:rsidR="004C480B">
      <w:headerReference w:type="default" r:id="rId8"/>
      <w:headerReference w:type="first" r:id="rId9"/>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6051" w:rsidRDefault="00086051">
      <w:r>
        <w:separator/>
      </w:r>
    </w:p>
  </w:endnote>
  <w:endnote w:type="continuationSeparator" w:id="0">
    <w:p w:rsidR="00086051" w:rsidRDefault="0008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6051" w:rsidRDefault="00086051">
      <w:r>
        <w:separator/>
      </w:r>
    </w:p>
  </w:footnote>
  <w:footnote w:type="continuationSeparator" w:id="0">
    <w:p w:rsidR="00086051" w:rsidRDefault="00086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Look w:val="0000" w:firstRow="0" w:lastRow="0" w:firstColumn="0" w:lastColumn="0" w:noHBand="0" w:noVBand="0"/>
    </w:tblPr>
    <w:tblGrid>
      <w:gridCol w:w="4820"/>
      <w:gridCol w:w="5385"/>
    </w:tblGrid>
    <w:tr w:rsidR="004B4A51">
      <w:trPr>
        <w:cantSplit/>
        <w:trHeight w:hRule="exact" w:val="1701"/>
        <w:jc w:val="center"/>
      </w:trPr>
      <w:tc>
        <w:tcPr>
          <w:tcW w:w="4820" w:type="dxa"/>
        </w:tcPr>
        <w:p w:rsidR="004B4A51" w:rsidRDefault="004B4A51">
          <w:pPr>
            <w:pStyle w:val="Header"/>
            <w:widowControl/>
            <w:spacing w:after="0"/>
          </w:pPr>
        </w:p>
      </w:tc>
      <w:tc>
        <w:tcPr>
          <w:tcW w:w="5385" w:type="dxa"/>
        </w:tcPr>
        <w:p w:rsidR="001C4DCB" w:rsidRDefault="001C4DCB" w:rsidP="001C4DCB">
          <w:pPr>
            <w:pStyle w:val="Header"/>
            <w:widowControl/>
            <w:spacing w:after="0"/>
            <w:jc w:val="right"/>
            <w:rPr>
              <w:b/>
              <w:i/>
              <w:sz w:val="32"/>
            </w:rPr>
          </w:pPr>
          <w:r>
            <w:rPr>
              <w:b/>
              <w:i/>
              <w:sz w:val="32"/>
            </w:rPr>
            <w:t>3GPP/PCG#42(19)</w:t>
          </w:r>
          <w:r w:rsidR="00702CDA">
            <w:rPr>
              <w:b/>
              <w:i/>
              <w:sz w:val="32"/>
            </w:rPr>
            <w:t>24</w:t>
          </w:r>
        </w:p>
        <w:p w:rsidR="004B4A51" w:rsidRDefault="004B4A51">
          <w:pPr>
            <w:pStyle w:val="Header"/>
            <w:widowControl/>
            <w:spacing w:after="0"/>
            <w:jc w:val="right"/>
          </w:pPr>
          <w:r>
            <w:t xml:space="preserve">page </w:t>
          </w:r>
          <w:r>
            <w:fldChar w:fldCharType="begin"/>
          </w:r>
          <w:r>
            <w:instrText xml:space="preserve">page </w:instrText>
          </w:r>
          <w:r>
            <w:fldChar w:fldCharType="separate"/>
          </w:r>
          <w:r w:rsidR="003C6217">
            <w:rPr>
              <w:noProof/>
            </w:rPr>
            <w:t>2</w:t>
          </w:r>
          <w:r>
            <w:rPr>
              <w:noProof/>
            </w:rPr>
            <w:fldChar w:fldCharType="end"/>
          </w:r>
          <w:r>
            <w:t xml:space="preserve"> of </w:t>
          </w:r>
          <w:r>
            <w:rPr>
              <w:noProof/>
            </w:rPr>
            <w:fldChar w:fldCharType="begin"/>
          </w:r>
          <w:r>
            <w:rPr>
              <w:noProof/>
            </w:rPr>
            <w:instrText xml:space="preserve">numpages  \* Mergeformat </w:instrText>
          </w:r>
          <w:r>
            <w:rPr>
              <w:noProof/>
            </w:rPr>
            <w:fldChar w:fldCharType="separate"/>
          </w:r>
          <w:r w:rsidR="003C6217">
            <w:rPr>
              <w:noProof/>
            </w:rPr>
            <w:t>3</w:t>
          </w:r>
          <w:r>
            <w:rPr>
              <w:noProof/>
            </w:rPr>
            <w:fldChar w:fldCharType="end"/>
          </w:r>
        </w:p>
      </w:tc>
    </w:tr>
  </w:tbl>
  <w:p w:rsidR="004B4A51" w:rsidRDefault="004B4A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Look w:val="0000" w:firstRow="0" w:lastRow="0" w:firstColumn="0" w:lastColumn="0" w:noHBand="0" w:noVBand="0"/>
    </w:tblPr>
    <w:tblGrid>
      <w:gridCol w:w="4820"/>
      <w:gridCol w:w="5385"/>
    </w:tblGrid>
    <w:tr w:rsidR="004B4A51">
      <w:trPr>
        <w:cantSplit/>
        <w:trHeight w:hRule="exact" w:val="1701"/>
        <w:jc w:val="center"/>
      </w:trPr>
      <w:tc>
        <w:tcPr>
          <w:tcW w:w="4820" w:type="dxa"/>
        </w:tcPr>
        <w:p w:rsidR="004B4A51" w:rsidRDefault="004B4A51">
          <w:pPr>
            <w:pStyle w:val="Header"/>
            <w:widowControl/>
            <w:spacing w:after="0"/>
            <w:rPr>
              <w:b/>
              <w:i/>
              <w:sz w:val="32"/>
            </w:rPr>
          </w:pPr>
          <w:r>
            <w:rPr>
              <w:b/>
              <w:i/>
              <w:sz w:val="32"/>
            </w:rPr>
            <w:t>3GPP/PCG#42 Meeting</w:t>
          </w:r>
        </w:p>
        <w:p w:rsidR="004B4A51" w:rsidRPr="0005266C" w:rsidRDefault="004B4A51">
          <w:pPr>
            <w:pStyle w:val="Header"/>
            <w:widowControl/>
            <w:spacing w:after="0"/>
            <w:rPr>
              <w:b/>
              <w:i/>
              <w:sz w:val="32"/>
              <w:lang w:val="en-US"/>
            </w:rPr>
          </w:pPr>
          <w:proofErr w:type="spellStart"/>
          <w:r>
            <w:rPr>
              <w:b/>
              <w:i/>
              <w:sz w:val="32"/>
              <w:szCs w:val="32"/>
              <w:lang w:val="en-US"/>
            </w:rPr>
            <w:t>Versoix</w:t>
          </w:r>
          <w:proofErr w:type="spellEnd"/>
          <w:r>
            <w:rPr>
              <w:b/>
              <w:i/>
              <w:sz w:val="32"/>
              <w:szCs w:val="32"/>
              <w:lang w:val="en-US"/>
            </w:rPr>
            <w:t>, Switzerland</w:t>
          </w:r>
        </w:p>
        <w:p w:rsidR="004B4A51" w:rsidRDefault="004B4A51">
          <w:pPr>
            <w:pStyle w:val="Header"/>
            <w:widowControl/>
            <w:spacing w:after="0"/>
            <w:rPr>
              <w:b/>
              <w:i/>
              <w:sz w:val="32"/>
            </w:rPr>
          </w:pPr>
          <w:r>
            <w:rPr>
              <w:b/>
              <w:i/>
              <w:sz w:val="32"/>
            </w:rPr>
            <w:t>28 March 2019</w:t>
          </w:r>
        </w:p>
        <w:p w:rsidR="004B4A51" w:rsidRDefault="004B4A51">
          <w:pPr>
            <w:pStyle w:val="Header"/>
            <w:widowControl/>
            <w:spacing w:after="0"/>
          </w:pPr>
        </w:p>
      </w:tc>
      <w:tc>
        <w:tcPr>
          <w:tcW w:w="5385" w:type="dxa"/>
        </w:tcPr>
        <w:p w:rsidR="004B4A51" w:rsidRDefault="004B4A51">
          <w:pPr>
            <w:pStyle w:val="Header"/>
            <w:widowControl/>
            <w:spacing w:after="0"/>
            <w:jc w:val="right"/>
            <w:rPr>
              <w:b/>
              <w:i/>
              <w:sz w:val="32"/>
            </w:rPr>
          </w:pPr>
          <w:r>
            <w:rPr>
              <w:b/>
              <w:i/>
              <w:sz w:val="32"/>
            </w:rPr>
            <w:t>3GPP/PCG#42(19)</w:t>
          </w:r>
          <w:r w:rsidR="00702CDA">
            <w:rPr>
              <w:b/>
              <w:i/>
              <w:sz w:val="32"/>
            </w:rPr>
            <w:t>24</w:t>
          </w:r>
        </w:p>
        <w:p w:rsidR="004B4A51" w:rsidRDefault="004B4A51">
          <w:pPr>
            <w:pStyle w:val="Header"/>
            <w:widowControl/>
            <w:spacing w:after="0"/>
            <w:jc w:val="right"/>
          </w:pPr>
          <w:r>
            <w:t>23 March 2019</w:t>
          </w:r>
        </w:p>
        <w:p w:rsidR="004B4A51" w:rsidRDefault="004B4A51">
          <w:pPr>
            <w:pStyle w:val="Header"/>
            <w:widowControl/>
            <w:spacing w:after="0"/>
            <w:jc w:val="right"/>
          </w:pPr>
          <w:r>
            <w:t xml:space="preserve">page </w:t>
          </w:r>
          <w:r>
            <w:fldChar w:fldCharType="begin"/>
          </w:r>
          <w:r>
            <w:instrText xml:space="preserve">page </w:instrText>
          </w:r>
          <w:r>
            <w:fldChar w:fldCharType="separate"/>
          </w:r>
          <w:r w:rsidR="003C6217">
            <w:rPr>
              <w:noProof/>
            </w:rPr>
            <w:t>1</w:t>
          </w:r>
          <w:r>
            <w:rPr>
              <w:noProof/>
            </w:rPr>
            <w:fldChar w:fldCharType="end"/>
          </w:r>
          <w:r>
            <w:t xml:space="preserve"> of </w:t>
          </w:r>
          <w:r>
            <w:rPr>
              <w:noProof/>
            </w:rPr>
            <w:fldChar w:fldCharType="begin"/>
          </w:r>
          <w:r>
            <w:rPr>
              <w:noProof/>
            </w:rPr>
            <w:instrText xml:space="preserve">numpages  \* Mergeformat </w:instrText>
          </w:r>
          <w:r>
            <w:rPr>
              <w:noProof/>
            </w:rPr>
            <w:fldChar w:fldCharType="separate"/>
          </w:r>
          <w:r w:rsidR="003C6217">
            <w:rPr>
              <w:noProof/>
            </w:rPr>
            <w:t>3</w:t>
          </w:r>
          <w:r>
            <w:rPr>
              <w:noProof/>
            </w:rPr>
            <w:fldChar w:fldCharType="end"/>
          </w:r>
        </w:p>
      </w:tc>
    </w:tr>
  </w:tbl>
  <w:p w:rsidR="004B4A51" w:rsidRDefault="004B4A51">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C292D"/>
    <w:multiLevelType w:val="hybridMultilevel"/>
    <w:tmpl w:val="BB26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3"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8"/>
  </w:num>
  <w:num w:numId="5">
    <w:abstractNumId w:val="3"/>
  </w:num>
  <w:num w:numId="6">
    <w:abstractNumId w:val="5"/>
  </w:num>
  <w:num w:numId="7">
    <w:abstractNumId w:val="4"/>
  </w:num>
  <w:num w:numId="8">
    <w:abstractNumId w:val="6"/>
  </w:num>
  <w:num w:numId="9">
    <w:abstractNumId w:val="7"/>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66C"/>
    <w:rsid w:val="00015340"/>
    <w:rsid w:val="00023391"/>
    <w:rsid w:val="0002617D"/>
    <w:rsid w:val="00043975"/>
    <w:rsid w:val="0005266C"/>
    <w:rsid w:val="0005670E"/>
    <w:rsid w:val="0007042D"/>
    <w:rsid w:val="000820D3"/>
    <w:rsid w:val="000834C2"/>
    <w:rsid w:val="00086051"/>
    <w:rsid w:val="0009395B"/>
    <w:rsid w:val="000A2D6D"/>
    <w:rsid w:val="000B2420"/>
    <w:rsid w:val="000B307A"/>
    <w:rsid w:val="000B423D"/>
    <w:rsid w:val="000B77C3"/>
    <w:rsid w:val="000C2248"/>
    <w:rsid w:val="000C2EC0"/>
    <w:rsid w:val="000C3323"/>
    <w:rsid w:val="000D1D4B"/>
    <w:rsid w:val="000D362A"/>
    <w:rsid w:val="000D46C8"/>
    <w:rsid w:val="000E54B1"/>
    <w:rsid w:val="000E721B"/>
    <w:rsid w:val="000F6C66"/>
    <w:rsid w:val="00104C6D"/>
    <w:rsid w:val="0010793A"/>
    <w:rsid w:val="001133AB"/>
    <w:rsid w:val="00113617"/>
    <w:rsid w:val="00117771"/>
    <w:rsid w:val="00134847"/>
    <w:rsid w:val="00141A80"/>
    <w:rsid w:val="00155508"/>
    <w:rsid w:val="00156F94"/>
    <w:rsid w:val="00162B06"/>
    <w:rsid w:val="00170A2C"/>
    <w:rsid w:val="00172AC4"/>
    <w:rsid w:val="001779BC"/>
    <w:rsid w:val="001805B9"/>
    <w:rsid w:val="00185A72"/>
    <w:rsid w:val="001A0AD3"/>
    <w:rsid w:val="001A22D7"/>
    <w:rsid w:val="001A3FFA"/>
    <w:rsid w:val="001A6D8C"/>
    <w:rsid w:val="001B5283"/>
    <w:rsid w:val="001C1B67"/>
    <w:rsid w:val="001C4DCB"/>
    <w:rsid w:val="001D42CC"/>
    <w:rsid w:val="001D5B28"/>
    <w:rsid w:val="001E0B66"/>
    <w:rsid w:val="001F549D"/>
    <w:rsid w:val="001F6359"/>
    <w:rsid w:val="001F76E8"/>
    <w:rsid w:val="0020086F"/>
    <w:rsid w:val="00205C53"/>
    <w:rsid w:val="00213CB2"/>
    <w:rsid w:val="00214C9E"/>
    <w:rsid w:val="00216F8A"/>
    <w:rsid w:val="00226608"/>
    <w:rsid w:val="00231F3D"/>
    <w:rsid w:val="002373E6"/>
    <w:rsid w:val="00240ECC"/>
    <w:rsid w:val="00241F36"/>
    <w:rsid w:val="00242608"/>
    <w:rsid w:val="002442FA"/>
    <w:rsid w:val="00244E1C"/>
    <w:rsid w:val="00252D50"/>
    <w:rsid w:val="002567F9"/>
    <w:rsid w:val="002600D6"/>
    <w:rsid w:val="0026547E"/>
    <w:rsid w:val="002803DE"/>
    <w:rsid w:val="002912E1"/>
    <w:rsid w:val="0029624D"/>
    <w:rsid w:val="002A2B62"/>
    <w:rsid w:val="002B5118"/>
    <w:rsid w:val="002D171D"/>
    <w:rsid w:val="002F102F"/>
    <w:rsid w:val="00300A11"/>
    <w:rsid w:val="003033AE"/>
    <w:rsid w:val="0032621C"/>
    <w:rsid w:val="00331B65"/>
    <w:rsid w:val="00332286"/>
    <w:rsid w:val="0033798A"/>
    <w:rsid w:val="00341123"/>
    <w:rsid w:val="00342DDE"/>
    <w:rsid w:val="003533FA"/>
    <w:rsid w:val="00365994"/>
    <w:rsid w:val="00374A5C"/>
    <w:rsid w:val="00386019"/>
    <w:rsid w:val="00387438"/>
    <w:rsid w:val="003912D8"/>
    <w:rsid w:val="00392955"/>
    <w:rsid w:val="0039566E"/>
    <w:rsid w:val="003A73BA"/>
    <w:rsid w:val="003B23FA"/>
    <w:rsid w:val="003C1E13"/>
    <w:rsid w:val="003C38CC"/>
    <w:rsid w:val="003C6217"/>
    <w:rsid w:val="003C729C"/>
    <w:rsid w:val="003C7883"/>
    <w:rsid w:val="003D6397"/>
    <w:rsid w:val="003F045F"/>
    <w:rsid w:val="003F46F7"/>
    <w:rsid w:val="004100C9"/>
    <w:rsid w:val="004148BC"/>
    <w:rsid w:val="004165BC"/>
    <w:rsid w:val="00416ACB"/>
    <w:rsid w:val="00417740"/>
    <w:rsid w:val="00431B3C"/>
    <w:rsid w:val="004346DB"/>
    <w:rsid w:val="00441ACC"/>
    <w:rsid w:val="0045276F"/>
    <w:rsid w:val="0046174A"/>
    <w:rsid w:val="00466B11"/>
    <w:rsid w:val="004735BE"/>
    <w:rsid w:val="00487643"/>
    <w:rsid w:val="00492F52"/>
    <w:rsid w:val="004A7858"/>
    <w:rsid w:val="004B2AC7"/>
    <w:rsid w:val="004B37BD"/>
    <w:rsid w:val="004B4A51"/>
    <w:rsid w:val="004C1C8C"/>
    <w:rsid w:val="004C4559"/>
    <w:rsid w:val="004C480B"/>
    <w:rsid w:val="004C5834"/>
    <w:rsid w:val="004D0F78"/>
    <w:rsid w:val="004D3ACC"/>
    <w:rsid w:val="004D6422"/>
    <w:rsid w:val="004E4231"/>
    <w:rsid w:val="004F3F8D"/>
    <w:rsid w:val="004F52E4"/>
    <w:rsid w:val="004F7F10"/>
    <w:rsid w:val="005037DF"/>
    <w:rsid w:val="0051779D"/>
    <w:rsid w:val="00523290"/>
    <w:rsid w:val="00525C78"/>
    <w:rsid w:val="005312EA"/>
    <w:rsid w:val="005358F1"/>
    <w:rsid w:val="00541810"/>
    <w:rsid w:val="00542487"/>
    <w:rsid w:val="005469BE"/>
    <w:rsid w:val="00557D46"/>
    <w:rsid w:val="00561D8C"/>
    <w:rsid w:val="00563801"/>
    <w:rsid w:val="0057321A"/>
    <w:rsid w:val="005826D1"/>
    <w:rsid w:val="00585912"/>
    <w:rsid w:val="005C311D"/>
    <w:rsid w:val="005D2B46"/>
    <w:rsid w:val="005D6E48"/>
    <w:rsid w:val="005F153B"/>
    <w:rsid w:val="005F167B"/>
    <w:rsid w:val="00611762"/>
    <w:rsid w:val="00622715"/>
    <w:rsid w:val="00625EBA"/>
    <w:rsid w:val="00626B04"/>
    <w:rsid w:val="00646363"/>
    <w:rsid w:val="00655DAD"/>
    <w:rsid w:val="00660DF8"/>
    <w:rsid w:val="0066489C"/>
    <w:rsid w:val="006652A7"/>
    <w:rsid w:val="006669C0"/>
    <w:rsid w:val="00666DF1"/>
    <w:rsid w:val="006847DB"/>
    <w:rsid w:val="006A096F"/>
    <w:rsid w:val="006A533C"/>
    <w:rsid w:val="006C742B"/>
    <w:rsid w:val="006D154B"/>
    <w:rsid w:val="006D4DD2"/>
    <w:rsid w:val="006D5ADC"/>
    <w:rsid w:val="006D6B86"/>
    <w:rsid w:val="006E36F2"/>
    <w:rsid w:val="006F3516"/>
    <w:rsid w:val="006F6E46"/>
    <w:rsid w:val="007012E8"/>
    <w:rsid w:val="00702CDA"/>
    <w:rsid w:val="0070402F"/>
    <w:rsid w:val="00707227"/>
    <w:rsid w:val="00721E8A"/>
    <w:rsid w:val="00723FAB"/>
    <w:rsid w:val="00727832"/>
    <w:rsid w:val="00731686"/>
    <w:rsid w:val="00750C75"/>
    <w:rsid w:val="007563B5"/>
    <w:rsid w:val="00770A32"/>
    <w:rsid w:val="00770B7B"/>
    <w:rsid w:val="0078536A"/>
    <w:rsid w:val="0078677B"/>
    <w:rsid w:val="007972C9"/>
    <w:rsid w:val="007A7F13"/>
    <w:rsid w:val="007B08BA"/>
    <w:rsid w:val="007B2D5C"/>
    <w:rsid w:val="007C50E4"/>
    <w:rsid w:val="007D4D86"/>
    <w:rsid w:val="007E4446"/>
    <w:rsid w:val="007F1D0F"/>
    <w:rsid w:val="007F6D56"/>
    <w:rsid w:val="00803793"/>
    <w:rsid w:val="00805F11"/>
    <w:rsid w:val="00810B28"/>
    <w:rsid w:val="00817A80"/>
    <w:rsid w:val="00833FFA"/>
    <w:rsid w:val="00836C20"/>
    <w:rsid w:val="008425AF"/>
    <w:rsid w:val="00842E6D"/>
    <w:rsid w:val="00845961"/>
    <w:rsid w:val="00852403"/>
    <w:rsid w:val="008632A9"/>
    <w:rsid w:val="00870781"/>
    <w:rsid w:val="00875085"/>
    <w:rsid w:val="00875371"/>
    <w:rsid w:val="0087615A"/>
    <w:rsid w:val="008842BF"/>
    <w:rsid w:val="008948BB"/>
    <w:rsid w:val="00894B78"/>
    <w:rsid w:val="008963DE"/>
    <w:rsid w:val="008979CF"/>
    <w:rsid w:val="008A7414"/>
    <w:rsid w:val="008B663E"/>
    <w:rsid w:val="008C3ACA"/>
    <w:rsid w:val="008D0150"/>
    <w:rsid w:val="008D1E6E"/>
    <w:rsid w:val="008D2E81"/>
    <w:rsid w:val="008D3101"/>
    <w:rsid w:val="008E02C9"/>
    <w:rsid w:val="008F5160"/>
    <w:rsid w:val="00904A52"/>
    <w:rsid w:val="00914552"/>
    <w:rsid w:val="00920BCB"/>
    <w:rsid w:val="00921CF5"/>
    <w:rsid w:val="00930F71"/>
    <w:rsid w:val="0093524D"/>
    <w:rsid w:val="00935B0C"/>
    <w:rsid w:val="00943E9D"/>
    <w:rsid w:val="00951EF9"/>
    <w:rsid w:val="00962303"/>
    <w:rsid w:val="00972046"/>
    <w:rsid w:val="009729F9"/>
    <w:rsid w:val="009830D6"/>
    <w:rsid w:val="0098794C"/>
    <w:rsid w:val="00991ED1"/>
    <w:rsid w:val="009A2274"/>
    <w:rsid w:val="009B0743"/>
    <w:rsid w:val="009B1543"/>
    <w:rsid w:val="009B2991"/>
    <w:rsid w:val="009D0D99"/>
    <w:rsid w:val="009D24E1"/>
    <w:rsid w:val="009D78B7"/>
    <w:rsid w:val="009F2460"/>
    <w:rsid w:val="00A106BA"/>
    <w:rsid w:val="00A10D23"/>
    <w:rsid w:val="00A15DC3"/>
    <w:rsid w:val="00A316A9"/>
    <w:rsid w:val="00A32215"/>
    <w:rsid w:val="00A46235"/>
    <w:rsid w:val="00A50FA8"/>
    <w:rsid w:val="00A556A8"/>
    <w:rsid w:val="00A6028C"/>
    <w:rsid w:val="00A63990"/>
    <w:rsid w:val="00A678BB"/>
    <w:rsid w:val="00A75AFA"/>
    <w:rsid w:val="00A931B5"/>
    <w:rsid w:val="00AB1137"/>
    <w:rsid w:val="00AB446F"/>
    <w:rsid w:val="00AD025F"/>
    <w:rsid w:val="00AD2F25"/>
    <w:rsid w:val="00AD3007"/>
    <w:rsid w:val="00AE1325"/>
    <w:rsid w:val="00AE7DED"/>
    <w:rsid w:val="00AF3313"/>
    <w:rsid w:val="00AF5FEA"/>
    <w:rsid w:val="00B00BCB"/>
    <w:rsid w:val="00B21122"/>
    <w:rsid w:val="00B277F3"/>
    <w:rsid w:val="00B30012"/>
    <w:rsid w:val="00B307B8"/>
    <w:rsid w:val="00B34288"/>
    <w:rsid w:val="00B3591A"/>
    <w:rsid w:val="00B3608F"/>
    <w:rsid w:val="00B37DCB"/>
    <w:rsid w:val="00B45019"/>
    <w:rsid w:val="00B52531"/>
    <w:rsid w:val="00B62087"/>
    <w:rsid w:val="00B66F23"/>
    <w:rsid w:val="00B769F9"/>
    <w:rsid w:val="00B77FC9"/>
    <w:rsid w:val="00B8582D"/>
    <w:rsid w:val="00B869A8"/>
    <w:rsid w:val="00B91FA6"/>
    <w:rsid w:val="00BA1958"/>
    <w:rsid w:val="00BA22E8"/>
    <w:rsid w:val="00BB06E1"/>
    <w:rsid w:val="00BB740D"/>
    <w:rsid w:val="00BD2B5E"/>
    <w:rsid w:val="00BD73E5"/>
    <w:rsid w:val="00BE56FA"/>
    <w:rsid w:val="00C01282"/>
    <w:rsid w:val="00C05F32"/>
    <w:rsid w:val="00C06EC5"/>
    <w:rsid w:val="00C15622"/>
    <w:rsid w:val="00C159D8"/>
    <w:rsid w:val="00C16267"/>
    <w:rsid w:val="00C17AB4"/>
    <w:rsid w:val="00C32A97"/>
    <w:rsid w:val="00C37944"/>
    <w:rsid w:val="00C420BE"/>
    <w:rsid w:val="00C44976"/>
    <w:rsid w:val="00C55B23"/>
    <w:rsid w:val="00C57736"/>
    <w:rsid w:val="00C62CCF"/>
    <w:rsid w:val="00C66772"/>
    <w:rsid w:val="00C77941"/>
    <w:rsid w:val="00C77F5C"/>
    <w:rsid w:val="00C80095"/>
    <w:rsid w:val="00C847B6"/>
    <w:rsid w:val="00C93F16"/>
    <w:rsid w:val="00C94D11"/>
    <w:rsid w:val="00C951DF"/>
    <w:rsid w:val="00C953E5"/>
    <w:rsid w:val="00CA4CFB"/>
    <w:rsid w:val="00CA5BD2"/>
    <w:rsid w:val="00CB4032"/>
    <w:rsid w:val="00CC3E1C"/>
    <w:rsid w:val="00CD2D3A"/>
    <w:rsid w:val="00CD3ECE"/>
    <w:rsid w:val="00CD7B3E"/>
    <w:rsid w:val="00CE4011"/>
    <w:rsid w:val="00D07555"/>
    <w:rsid w:val="00D16C5B"/>
    <w:rsid w:val="00D24A94"/>
    <w:rsid w:val="00D26027"/>
    <w:rsid w:val="00D26E62"/>
    <w:rsid w:val="00D33A50"/>
    <w:rsid w:val="00D41156"/>
    <w:rsid w:val="00D515F8"/>
    <w:rsid w:val="00D56363"/>
    <w:rsid w:val="00D63DA3"/>
    <w:rsid w:val="00D67BBF"/>
    <w:rsid w:val="00D7310C"/>
    <w:rsid w:val="00D76C2A"/>
    <w:rsid w:val="00D855FE"/>
    <w:rsid w:val="00D85DF2"/>
    <w:rsid w:val="00D8762F"/>
    <w:rsid w:val="00D90144"/>
    <w:rsid w:val="00D9327E"/>
    <w:rsid w:val="00D942D0"/>
    <w:rsid w:val="00D97BAC"/>
    <w:rsid w:val="00DA2DD9"/>
    <w:rsid w:val="00DA78E1"/>
    <w:rsid w:val="00DB174E"/>
    <w:rsid w:val="00DB63E5"/>
    <w:rsid w:val="00DC49FB"/>
    <w:rsid w:val="00DD774A"/>
    <w:rsid w:val="00DE0BBA"/>
    <w:rsid w:val="00DE36A4"/>
    <w:rsid w:val="00DF45DD"/>
    <w:rsid w:val="00DF5F92"/>
    <w:rsid w:val="00DF676E"/>
    <w:rsid w:val="00E05B0E"/>
    <w:rsid w:val="00E0700C"/>
    <w:rsid w:val="00E11480"/>
    <w:rsid w:val="00E35EE3"/>
    <w:rsid w:val="00E4167B"/>
    <w:rsid w:val="00E43782"/>
    <w:rsid w:val="00E47C48"/>
    <w:rsid w:val="00E64493"/>
    <w:rsid w:val="00E7066D"/>
    <w:rsid w:val="00E824BF"/>
    <w:rsid w:val="00E93311"/>
    <w:rsid w:val="00EA2FFA"/>
    <w:rsid w:val="00EC2973"/>
    <w:rsid w:val="00EC541E"/>
    <w:rsid w:val="00ED302D"/>
    <w:rsid w:val="00ED627A"/>
    <w:rsid w:val="00ED7E63"/>
    <w:rsid w:val="00EE2C10"/>
    <w:rsid w:val="00EF10BF"/>
    <w:rsid w:val="00EF2740"/>
    <w:rsid w:val="00EF5C4A"/>
    <w:rsid w:val="00F07766"/>
    <w:rsid w:val="00F21C89"/>
    <w:rsid w:val="00F22A31"/>
    <w:rsid w:val="00F34D8D"/>
    <w:rsid w:val="00F3523B"/>
    <w:rsid w:val="00F4562A"/>
    <w:rsid w:val="00F80D5A"/>
    <w:rsid w:val="00FA023F"/>
    <w:rsid w:val="00FA0AD1"/>
    <w:rsid w:val="00FA278A"/>
    <w:rsid w:val="00FA4E48"/>
    <w:rsid w:val="00FB0E1F"/>
    <w:rsid w:val="00FB7875"/>
    <w:rsid w:val="00FC4639"/>
    <w:rsid w:val="00FC5F5D"/>
    <w:rsid w:val="00FD09F0"/>
    <w:rsid w:val="00FD1DF3"/>
    <w:rsid w:val="00FD1F1F"/>
    <w:rsid w:val="00FD396C"/>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53467"/>
  <w15:docId w15:val="{876E7CBB-20D7-4FDE-AC80-7CB81F26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A3FF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A3FFA"/>
    <w:rPr>
      <w:rFonts w:ascii="Segoe UI" w:hAnsi="Segoe UI" w:cs="Segoe UI"/>
      <w:sz w:val="18"/>
      <w:szCs w:val="18"/>
      <w:lang w:val="en-GB"/>
    </w:rPr>
  </w:style>
  <w:style w:type="paragraph" w:styleId="ListParagraph">
    <w:name w:val="List Paragraph"/>
    <w:basedOn w:val="Normal"/>
    <w:uiPriority w:val="34"/>
    <w:qFormat/>
    <w:rsid w:val="00770A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6F9B8-6795-4441-B96F-828B4AC09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3</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Adrian Scrase</cp:lastModifiedBy>
  <cp:revision>7</cp:revision>
  <cp:lastPrinted>2019-02-06T09:49:00Z</cp:lastPrinted>
  <dcterms:created xsi:type="dcterms:W3CDTF">2019-03-23T08:03:00Z</dcterms:created>
  <dcterms:modified xsi:type="dcterms:W3CDTF">2019-03-24T05:10:00Z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(2)bD8SEamBjia5f5hltK1q3Bd0OPGa2vT8nh2keAg1fN7kBZBwjv7ttcJJ4GPFYj/M6nPFM2+b
UYdaoumAAf3Qp9NE0wp/b0RrAVu7uPKFjJT8IOeCzlgb7J4gwiKP/0yIA1Qv9ai/7c1ZbnBF
2QoIgJ6lrrSigTUnow4fu2/jQWhyTew2rfWNZs0hpcPWSdlGsPjfdDwKRQb0TElK7x64Axp3
o88QlZg6va92zjvuzg</vt:lpwstr>
  </property>
  <property fmtid="{D5CDD505-2E9C-101B-9397-08002B2CF9AE}" pid="3" name="_2015_ms_pID_7253431">
    <vt:lpwstr>0cacDHaMH6jqU03d39wz1rUI5jqZSbBt6dGfrwomx0D+jeLWXvE03q
QOXiaUQKR/48NWIgFitaloCNLTiW7DWqEnjsvBtRBj4xeS5/+LVVRwU2ZwnT6kHHEZ4Qm7Ov
m70apyYWVL9B+OdGHN7oYHbGVefBnBUVZrSnsipUBPsCpaumDE6DWMMWzoesWyuySqWdBzN+
1x+BToPHrwjGDXYu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1553337155</vt:lpwstr>
  </property>
</Properties>
</file>